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A9" w:rsidRDefault="005720B9" w:rsidP="005720B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PPS </w:t>
      </w:r>
      <w:r w:rsidRPr="005720B9">
        <w:rPr>
          <w:b/>
          <w:sz w:val="40"/>
          <w:u w:val="single"/>
        </w:rPr>
        <w:t>Maxi Cup</w:t>
      </w:r>
      <w:r>
        <w:rPr>
          <w:b/>
          <w:sz w:val="40"/>
          <w:u w:val="single"/>
        </w:rPr>
        <w:t>s</w:t>
      </w:r>
    </w:p>
    <w:p w:rsidR="005720B9" w:rsidRDefault="005720B9" w:rsidP="005720B9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49008</wp:posOffset>
            </wp:positionV>
            <wp:extent cx="2659380" cy="209602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 Cu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209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B9" w:rsidRPr="005720B9" w:rsidRDefault="005720B9" w:rsidP="005720B9">
      <w:pPr>
        <w:rPr>
          <w:sz w:val="40"/>
        </w:rPr>
      </w:pPr>
    </w:p>
    <w:p w:rsidR="005720B9" w:rsidRPr="005720B9" w:rsidRDefault="005720B9" w:rsidP="005720B9">
      <w:pPr>
        <w:rPr>
          <w:sz w:val="40"/>
        </w:rPr>
      </w:pPr>
    </w:p>
    <w:p w:rsidR="005720B9" w:rsidRPr="005720B9" w:rsidRDefault="005720B9" w:rsidP="005720B9">
      <w:pPr>
        <w:rPr>
          <w:sz w:val="40"/>
        </w:rPr>
      </w:pPr>
    </w:p>
    <w:p w:rsidR="005720B9" w:rsidRDefault="005720B9" w:rsidP="005720B9">
      <w:pPr>
        <w:rPr>
          <w:sz w:val="40"/>
        </w:rPr>
      </w:pPr>
    </w:p>
    <w:p w:rsidR="005720B9" w:rsidRDefault="005720B9" w:rsidP="005720B9">
      <w:pPr>
        <w:pStyle w:val="BodyText"/>
        <w:jc w:val="both"/>
      </w:pPr>
      <w:r>
        <w:t>Pipeline Pigging Specialties Ltd. manufactures the aerodynamic solid cast urethane cup pig. The sleek nose maneuvers easily around short radius bends and T’s.  Depending on the durometer of uretha</w:t>
      </w:r>
      <w:r w:rsidR="00946F9A">
        <w:t>ne, these pigs can manage multi-</w:t>
      </w:r>
      <w:r>
        <w:t>wall thickness pipe from Schedule 40 to Schedule 80.</w:t>
      </w:r>
    </w:p>
    <w:p w:rsidR="005720B9" w:rsidRDefault="005720B9" w:rsidP="005720B9">
      <w:pPr>
        <w:pStyle w:val="BodyText"/>
        <w:jc w:val="both"/>
      </w:pPr>
    </w:p>
    <w:p w:rsidR="005720B9" w:rsidRDefault="005720B9" w:rsidP="005720B9">
      <w:pPr>
        <w:rPr>
          <w:b/>
          <w:sz w:val="24"/>
          <w:u w:val="single"/>
        </w:rPr>
      </w:pPr>
      <w:r w:rsidRPr="005720B9">
        <w:rPr>
          <w:b/>
          <w:sz w:val="24"/>
          <w:u w:val="single"/>
        </w:rPr>
        <w:t>Any SPD can also be made into a 2 cup Maxi Cup (</w:t>
      </w:r>
      <w:r>
        <w:rPr>
          <w:b/>
          <w:sz w:val="24"/>
          <w:u w:val="single"/>
        </w:rPr>
        <w:t xml:space="preserve">For 10” &amp; 12”; </w:t>
      </w:r>
      <w:r w:rsidR="009F6AB8">
        <w:rPr>
          <w:b/>
          <w:sz w:val="24"/>
          <w:u w:val="single"/>
        </w:rPr>
        <w:t>if</w:t>
      </w:r>
      <w:r>
        <w:rPr>
          <w:b/>
          <w:sz w:val="24"/>
          <w:u w:val="single"/>
        </w:rPr>
        <w:t xml:space="preserve"> alternate lengths are </w:t>
      </w:r>
      <w:bookmarkStart w:id="0" w:name="_GoBack"/>
      <w:bookmarkEnd w:id="0"/>
      <w:r>
        <w:rPr>
          <w:b/>
          <w:sz w:val="24"/>
          <w:u w:val="single"/>
        </w:rPr>
        <w:t>r</w:t>
      </w:r>
      <w:r w:rsidRPr="005720B9">
        <w:rPr>
          <w:b/>
          <w:sz w:val="24"/>
          <w:u w:val="single"/>
        </w:rPr>
        <w:t>equired)</w:t>
      </w:r>
      <w:r>
        <w:rPr>
          <w:b/>
          <w:sz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008"/>
        <w:gridCol w:w="2152"/>
        <w:gridCol w:w="2153"/>
        <w:gridCol w:w="1771"/>
        <w:gridCol w:w="1772"/>
      </w:tblGrid>
      <w:tr w:rsidR="005720B9" w:rsidTr="005720B9">
        <w:trPr>
          <w:cantSplit/>
        </w:trPr>
        <w:tc>
          <w:tcPr>
            <w:tcW w:w="1008" w:type="dxa"/>
            <w:vMerge w:val="restart"/>
            <w:shd w:val="clear" w:color="auto" w:fill="auto"/>
          </w:tcPr>
          <w:p w:rsidR="005720B9" w:rsidRDefault="005720B9" w:rsidP="00212BF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5720B9" w:rsidRDefault="005720B9" w:rsidP="00212BF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5720B9" w:rsidRDefault="005720B9" w:rsidP="00212BF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Cup O.D.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5720B9" w:rsidRDefault="005720B9" w:rsidP="00212BF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Back Cup O.D.</w:t>
            </w:r>
          </w:p>
        </w:tc>
      </w:tr>
      <w:tr w:rsidR="005720B9" w:rsidTr="005720B9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5720B9" w:rsidRDefault="005720B9" w:rsidP="00212BF5">
            <w:pPr>
              <w:pStyle w:val="Heading1"/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5720B9" w:rsidRDefault="005720B9" w:rsidP="00212BF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2 Cup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5720B9" w:rsidRDefault="005720B9" w:rsidP="00212BF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3 Cup</w:t>
            </w: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5720B9" w:rsidRDefault="005720B9" w:rsidP="00212BF5">
            <w:pPr>
              <w:pStyle w:val="Heading1"/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5720B9" w:rsidRDefault="005720B9" w:rsidP="00212BF5">
            <w:pPr>
              <w:jc w:val="center"/>
              <w:rPr>
                <w:sz w:val="24"/>
              </w:rPr>
            </w:pPr>
          </w:p>
        </w:tc>
      </w:tr>
      <w:tr w:rsidR="005720B9" w:rsidTr="00212BF5">
        <w:trPr>
          <w:cantSplit/>
        </w:trPr>
        <w:tc>
          <w:tcPr>
            <w:tcW w:w="1008" w:type="dxa"/>
          </w:tcPr>
          <w:p w:rsidR="005720B9" w:rsidRDefault="005720B9" w:rsidP="00212BF5">
            <w:pPr>
              <w:pStyle w:val="Heading1"/>
            </w:pPr>
            <w:r>
              <w:t>3”</w:t>
            </w:r>
          </w:p>
        </w:tc>
        <w:tc>
          <w:tcPr>
            <w:tcW w:w="2152" w:type="dxa"/>
          </w:tcPr>
          <w:p w:rsidR="005720B9" w:rsidRDefault="005720B9" w:rsidP="00212BF5">
            <w:pPr>
              <w:pStyle w:val="Heading1"/>
            </w:pPr>
            <w:r>
              <w:t>4.34”</w:t>
            </w:r>
          </w:p>
        </w:tc>
        <w:tc>
          <w:tcPr>
            <w:tcW w:w="2153" w:type="dxa"/>
          </w:tcPr>
          <w:p w:rsidR="005720B9" w:rsidRDefault="005720B9" w:rsidP="00212BF5">
            <w:pPr>
              <w:pStyle w:val="Heading1"/>
            </w:pPr>
            <w:r>
              <w:t>6.954”</w:t>
            </w:r>
          </w:p>
        </w:tc>
        <w:tc>
          <w:tcPr>
            <w:tcW w:w="1771" w:type="dxa"/>
          </w:tcPr>
          <w:p w:rsidR="005720B9" w:rsidRDefault="005720B9" w:rsidP="00212BF5">
            <w:pPr>
              <w:pStyle w:val="Heading1"/>
            </w:pPr>
            <w:r>
              <w:t>3.354”</w:t>
            </w:r>
          </w:p>
        </w:tc>
        <w:tc>
          <w:tcPr>
            <w:tcW w:w="1772" w:type="dxa"/>
          </w:tcPr>
          <w:p w:rsidR="005720B9" w:rsidRDefault="005720B9" w:rsidP="00212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3.40”</w:t>
            </w:r>
          </w:p>
        </w:tc>
      </w:tr>
      <w:tr w:rsidR="005720B9" w:rsidTr="00212BF5">
        <w:trPr>
          <w:cantSplit/>
        </w:trPr>
        <w:tc>
          <w:tcPr>
            <w:tcW w:w="1008" w:type="dxa"/>
          </w:tcPr>
          <w:p w:rsidR="005720B9" w:rsidRDefault="005720B9" w:rsidP="00212BF5">
            <w:pPr>
              <w:pStyle w:val="Heading1"/>
            </w:pPr>
            <w:r>
              <w:t>4”</w:t>
            </w:r>
          </w:p>
        </w:tc>
        <w:tc>
          <w:tcPr>
            <w:tcW w:w="2152" w:type="dxa"/>
          </w:tcPr>
          <w:p w:rsidR="005720B9" w:rsidRDefault="005720B9" w:rsidP="00212BF5">
            <w:pPr>
              <w:pStyle w:val="Heading1"/>
            </w:pPr>
            <w:r>
              <w:t>5-1/4”</w:t>
            </w:r>
          </w:p>
        </w:tc>
        <w:tc>
          <w:tcPr>
            <w:tcW w:w="2153" w:type="dxa"/>
          </w:tcPr>
          <w:p w:rsidR="005720B9" w:rsidRDefault="005720B9" w:rsidP="00212BF5">
            <w:pPr>
              <w:pStyle w:val="Heading1"/>
            </w:pPr>
            <w:r>
              <w:t>8.78”</w:t>
            </w:r>
          </w:p>
        </w:tc>
        <w:tc>
          <w:tcPr>
            <w:tcW w:w="1771" w:type="dxa"/>
          </w:tcPr>
          <w:p w:rsidR="005720B9" w:rsidRDefault="005720B9" w:rsidP="00212BF5">
            <w:pPr>
              <w:pStyle w:val="Heading1"/>
            </w:pPr>
            <w:r>
              <w:t>4.478”</w:t>
            </w:r>
          </w:p>
        </w:tc>
        <w:tc>
          <w:tcPr>
            <w:tcW w:w="1772" w:type="dxa"/>
          </w:tcPr>
          <w:p w:rsidR="005720B9" w:rsidRDefault="005720B9" w:rsidP="00212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4-1/2”</w:t>
            </w:r>
          </w:p>
        </w:tc>
      </w:tr>
      <w:tr w:rsidR="005720B9" w:rsidTr="00212BF5">
        <w:trPr>
          <w:cantSplit/>
        </w:trPr>
        <w:tc>
          <w:tcPr>
            <w:tcW w:w="1008" w:type="dxa"/>
          </w:tcPr>
          <w:p w:rsidR="005720B9" w:rsidRDefault="005720B9" w:rsidP="00212BF5">
            <w:pPr>
              <w:pStyle w:val="Heading1"/>
            </w:pPr>
            <w:r>
              <w:t>6”</w:t>
            </w:r>
          </w:p>
        </w:tc>
        <w:tc>
          <w:tcPr>
            <w:tcW w:w="2152" w:type="dxa"/>
          </w:tcPr>
          <w:p w:rsidR="005720B9" w:rsidRDefault="005720B9" w:rsidP="00212BF5">
            <w:pPr>
              <w:pStyle w:val="Heading1"/>
            </w:pPr>
            <w:r>
              <w:t>8-1/2”</w:t>
            </w:r>
          </w:p>
        </w:tc>
        <w:tc>
          <w:tcPr>
            <w:tcW w:w="2153" w:type="dxa"/>
          </w:tcPr>
          <w:p w:rsidR="005720B9" w:rsidRDefault="005720B9" w:rsidP="00212BF5">
            <w:pPr>
              <w:pStyle w:val="Heading1"/>
            </w:pPr>
            <w:r>
              <w:t>13-1/2”</w:t>
            </w:r>
          </w:p>
        </w:tc>
        <w:tc>
          <w:tcPr>
            <w:tcW w:w="1771" w:type="dxa"/>
          </w:tcPr>
          <w:p w:rsidR="005720B9" w:rsidRDefault="005720B9" w:rsidP="00212BF5">
            <w:pPr>
              <w:pStyle w:val="Heading1"/>
            </w:pPr>
            <w:r>
              <w:t>6.40”</w:t>
            </w:r>
          </w:p>
        </w:tc>
        <w:tc>
          <w:tcPr>
            <w:tcW w:w="1772" w:type="dxa"/>
          </w:tcPr>
          <w:p w:rsidR="005720B9" w:rsidRDefault="005720B9" w:rsidP="00212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6.40”</w:t>
            </w:r>
          </w:p>
        </w:tc>
      </w:tr>
      <w:tr w:rsidR="005720B9" w:rsidTr="00212BF5">
        <w:trPr>
          <w:cantSplit/>
        </w:trPr>
        <w:tc>
          <w:tcPr>
            <w:tcW w:w="1008" w:type="dxa"/>
          </w:tcPr>
          <w:p w:rsidR="005720B9" w:rsidRDefault="005720B9" w:rsidP="00212BF5">
            <w:pPr>
              <w:pStyle w:val="Heading1"/>
            </w:pPr>
            <w:r>
              <w:t>8”</w:t>
            </w:r>
          </w:p>
        </w:tc>
        <w:tc>
          <w:tcPr>
            <w:tcW w:w="2152" w:type="dxa"/>
          </w:tcPr>
          <w:p w:rsidR="005720B9" w:rsidRDefault="005720B9" w:rsidP="00212BF5">
            <w:pPr>
              <w:pStyle w:val="Heading1"/>
            </w:pPr>
            <w:r>
              <w:t xml:space="preserve">9.6” </w:t>
            </w:r>
          </w:p>
        </w:tc>
        <w:tc>
          <w:tcPr>
            <w:tcW w:w="2153" w:type="dxa"/>
          </w:tcPr>
          <w:p w:rsidR="005720B9" w:rsidRDefault="005720B9" w:rsidP="00212BF5">
            <w:pPr>
              <w:pStyle w:val="Heading1"/>
            </w:pPr>
            <w:r>
              <w:t>17”</w:t>
            </w:r>
          </w:p>
        </w:tc>
        <w:tc>
          <w:tcPr>
            <w:tcW w:w="1771" w:type="dxa"/>
          </w:tcPr>
          <w:p w:rsidR="005720B9" w:rsidRDefault="005720B9" w:rsidP="00212BF5">
            <w:pPr>
              <w:pStyle w:val="Heading1"/>
            </w:pPr>
            <w:r>
              <w:t>8-1/2”</w:t>
            </w:r>
          </w:p>
        </w:tc>
        <w:tc>
          <w:tcPr>
            <w:tcW w:w="1772" w:type="dxa"/>
          </w:tcPr>
          <w:p w:rsidR="005720B9" w:rsidRDefault="005720B9" w:rsidP="00212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8.95”</w:t>
            </w:r>
          </w:p>
        </w:tc>
      </w:tr>
    </w:tbl>
    <w:p w:rsidR="005720B9" w:rsidRDefault="005720B9" w:rsidP="005720B9">
      <w:pPr>
        <w:rPr>
          <w:sz w:val="24"/>
        </w:rPr>
      </w:pPr>
    </w:p>
    <w:p w:rsidR="005720B9" w:rsidRDefault="005720B9" w:rsidP="005720B9">
      <w:pPr>
        <w:pStyle w:val="BodyText"/>
        <w:jc w:val="both"/>
      </w:pPr>
    </w:p>
    <w:p w:rsidR="005720B9" w:rsidRPr="005720B9" w:rsidRDefault="005720B9" w:rsidP="005720B9">
      <w:pPr>
        <w:tabs>
          <w:tab w:val="left" w:pos="3552"/>
        </w:tabs>
        <w:rPr>
          <w:sz w:val="40"/>
        </w:rPr>
      </w:pPr>
    </w:p>
    <w:sectPr w:rsidR="005720B9" w:rsidRPr="005720B9" w:rsidSect="005720B9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B9" w:rsidRDefault="005720B9" w:rsidP="005720B9">
      <w:pPr>
        <w:spacing w:after="0" w:line="240" w:lineRule="auto"/>
      </w:pPr>
      <w:r>
        <w:separator/>
      </w:r>
    </w:p>
  </w:endnote>
  <w:endnote w:type="continuationSeparator" w:id="0">
    <w:p w:rsidR="005720B9" w:rsidRDefault="005720B9" w:rsidP="005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B9" w:rsidRDefault="005720B9" w:rsidP="005720B9">
    <w:pPr>
      <w:pStyle w:val="Footer"/>
      <w:ind w:left="2160" w:firstLine="432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00C7A7" wp14:editId="08F8158F">
          <wp:simplePos x="0" y="0"/>
          <wp:positionH relativeFrom="column">
            <wp:posOffset>6004560</wp:posOffset>
          </wp:positionH>
          <wp:positionV relativeFrom="paragraph">
            <wp:posOffset>-5080</wp:posOffset>
          </wp:positionV>
          <wp:extent cx="256540" cy="234315"/>
          <wp:effectExtent l="0" t="0" r="0" b="0"/>
          <wp:wrapNone/>
          <wp:docPr id="3" name="Picture 3" descr="SPD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D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2FA52" wp14:editId="2F69FC4C">
          <wp:simplePos x="0" y="0"/>
          <wp:positionH relativeFrom="column">
            <wp:posOffset>3796665</wp:posOffset>
          </wp:positionH>
          <wp:positionV relativeFrom="paragraph">
            <wp:posOffset>-8890</wp:posOffset>
          </wp:positionV>
          <wp:extent cx="226695" cy="229235"/>
          <wp:effectExtent l="0" t="0" r="1905" b="0"/>
          <wp:wrapTight wrapText="bothSides">
            <wp:wrapPolygon edited="0">
              <wp:start x="0" y="0"/>
              <wp:lineTo x="0" y="19745"/>
              <wp:lineTo x="19966" y="19745"/>
              <wp:lineTo x="1996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2" r="25533" b="5518"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Pipeline Pigging Specialties Ltd.    </w:t>
    </w:r>
  </w:p>
  <w:p w:rsidR="005720B9" w:rsidRDefault="005720B9" w:rsidP="005720B9">
    <w:pPr>
      <w:pStyle w:val="Footer"/>
      <w:jc w:val="center"/>
    </w:pPr>
    <w:r>
      <w:t xml:space="preserve">                                                                                                                                 603 – 21 Ave. Nisku, AB.</w:t>
    </w:r>
  </w:p>
  <w:p w:rsidR="005720B9" w:rsidRDefault="005720B9" w:rsidP="005720B9">
    <w:pPr>
      <w:pStyle w:val="Footer"/>
      <w:jc w:val="right"/>
    </w:pPr>
    <w:r>
      <w:t>P: (780) 955-7776 F: (780) 955-2527</w:t>
    </w:r>
  </w:p>
  <w:p w:rsidR="005720B9" w:rsidRDefault="005720B9" w:rsidP="005720B9">
    <w:pPr>
      <w:pStyle w:val="Footer"/>
      <w:tabs>
        <w:tab w:val="right" w:pos="9936"/>
      </w:tabs>
      <w:jc w:val="right"/>
    </w:pPr>
    <w:r>
      <w:tab/>
    </w:r>
    <w:r>
      <w:tab/>
      <w:t xml:space="preserve">E-Mail </w:t>
    </w:r>
    <w:hyperlink r:id="rId3" w:history="1">
      <w:r w:rsidRPr="004A76B5">
        <w:rPr>
          <w:rStyle w:val="Hyperlink"/>
        </w:rPr>
        <w:t>info@pipelinepigging.ca</w:t>
      </w:r>
    </w:hyperlink>
    <w:r>
      <w:t xml:space="preserve"> www.pipelinepigging.ca</w:t>
    </w:r>
  </w:p>
  <w:p w:rsidR="005720B9" w:rsidRDefault="005720B9" w:rsidP="005720B9">
    <w:pPr>
      <w:pStyle w:val="Footer"/>
    </w:pPr>
  </w:p>
  <w:p w:rsidR="005720B9" w:rsidRDefault="00572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B9" w:rsidRDefault="005720B9" w:rsidP="005720B9">
      <w:pPr>
        <w:spacing w:after="0" w:line="240" w:lineRule="auto"/>
      </w:pPr>
      <w:r>
        <w:separator/>
      </w:r>
    </w:p>
  </w:footnote>
  <w:footnote w:type="continuationSeparator" w:id="0">
    <w:p w:rsidR="005720B9" w:rsidRDefault="005720B9" w:rsidP="0057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B9"/>
    <w:rsid w:val="005720B9"/>
    <w:rsid w:val="00946F9A"/>
    <w:rsid w:val="009F6AB8"/>
    <w:rsid w:val="00D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2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20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20B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720B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B9"/>
  </w:style>
  <w:style w:type="paragraph" w:styleId="Footer">
    <w:name w:val="footer"/>
    <w:basedOn w:val="Normal"/>
    <w:link w:val="FooterChar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0B9"/>
  </w:style>
  <w:style w:type="character" w:styleId="Hyperlink">
    <w:name w:val="Hyperlink"/>
    <w:rsid w:val="0057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2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720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20B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720B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B9"/>
  </w:style>
  <w:style w:type="paragraph" w:styleId="Footer">
    <w:name w:val="footer"/>
    <w:basedOn w:val="Normal"/>
    <w:link w:val="FooterChar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0B9"/>
  </w:style>
  <w:style w:type="character" w:styleId="Hyperlink">
    <w:name w:val="Hyperlink"/>
    <w:rsid w:val="0057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pelinepigging.c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</dc:creator>
  <cp:lastModifiedBy>Pipeline Pigging</cp:lastModifiedBy>
  <cp:revision>3</cp:revision>
  <dcterms:created xsi:type="dcterms:W3CDTF">2019-08-15T20:14:00Z</dcterms:created>
  <dcterms:modified xsi:type="dcterms:W3CDTF">2019-08-15T20:21:00Z</dcterms:modified>
</cp:coreProperties>
</file>